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方正大标宋简体" w:eastAsia="方正大标宋简体" w:cs="方正大标宋简体"/>
          <w:b/>
          <w:color w:val="FF0000"/>
          <w:spacing w:val="68"/>
          <w:sz w:val="60"/>
          <w:szCs w:val="60"/>
          <w:lang w:eastAsia="zh-CN"/>
        </w:rPr>
      </w:pPr>
    </w:p>
    <w:p>
      <w:pPr>
        <w:jc w:val="both"/>
        <w:rPr>
          <w:rFonts w:hint="eastAsia" w:ascii="方正大标宋简体" w:hAnsi="方正大标宋简体" w:eastAsia="方正大标宋简体" w:cs="方正大标宋简体"/>
          <w:b/>
          <w:color w:val="FF0000"/>
          <w:spacing w:val="74"/>
          <w:sz w:val="72"/>
          <w:szCs w:val="7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color w:val="FF0000"/>
          <w:spacing w:val="68"/>
          <w:sz w:val="60"/>
          <w:szCs w:val="60"/>
          <w:lang w:eastAsia="zh-CN"/>
        </w:rPr>
        <w:t>江西省社会科学规划办公室</w:t>
      </w: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16510</wp:posOffset>
                </wp:positionV>
                <wp:extent cx="5659755" cy="38100"/>
                <wp:effectExtent l="0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755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pt;margin-top:1.3pt;height:3pt;width:445.65pt;z-index:251658240;mso-width-relative:page;mso-height-relative:page;" filled="f" stroked="t" coordsize="21600,21600" o:gfxdata="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Q/Pl1gAAAAYBAAAPAAAAAAAAAAEAIAAAACIAAABkcnMvZG93&#10;bnJldi54bWxQSwECFAAUAAAACACHTuJAtBI4BAICAADyAwAADgAAAAAAAAABACAAAAAl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300" w:right="420" w:rightChars="20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关于征集</w:t>
      </w: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val="en-US" w:eastAsia="zh-CN"/>
        </w:rPr>
        <w:t>江西省社会科学“十四五”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300" w:right="420" w:right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val="en-US" w:eastAsia="zh-CN"/>
        </w:rPr>
        <w:t>（2021年）基金项目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选题的通知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各高等院校，省直科研机构，省直有关单位：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为做好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江西省社会科学“十四五”（2021年）基金项目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课题指南起草工作，广泛听取社科界专家学者的意见和建议，现就公开征集选题有关事项通知如下：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一、选题内容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选题要以习近平新时代中国特色社会主义思想为指导，全面贯彻落实党的十九大和十九届二中、三中、四中、五中全会精神，以及习近平总书记对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工作的重要指示批示精神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深入贯彻落实2020年中央经济工作会议精神和省委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十四届十二次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全会精神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重点围绕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省“十四五”时期经济社会发展战略问题，围绕我省加快构建中国特色哲学社会科学学科体系、学术体系、话语体系，围绕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特色地域历史文化的传承发展，从不同学科、不同领域提出一批具有决策参考价值和实践指导意义的应用类选题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一批具有重要学术价值和文化传承意义的基础类选题。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基础类选题要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紧紧围绕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习近平新时代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中国特色社会主义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密切跟踪学术发展和学科建设的前沿和动态，着力推进学科体系、学术体系、话语体系建设和创新，力求具有原创性、开拓性和较高的学术思想价值。应用类选题要聚焦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经济社会发展中的全局性、战略性和前瞻性的理论和实践问题，紧密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结合我省经济社会高质量发展，大力推进以科技创新为核心的全面创新、加快发展现代产业体系、深入实施扩大内需战略、加快深层次市场化改革、协同推进区域发展和新型城镇化、优先发展农业农村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战略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，力求具有现实性、针对性和较强的决策参考价值。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基本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要坚持正确政治导向，具有明确的研究目标、鲜明的问题意识、厚重的学术分量和较强的创新价值，体现有限规模和突出重点的原则。选题文字表述要科学、严谨、规范、简洁，一般不加副标题。选题应避免与已立项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省社科基金年度项目、智库项目、地区基金项目及其它专项等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重复。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420" w:rightChars="200" w:firstLine="64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征集对象和选题数量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tabs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主要面向省内党政机关、党校（行政学院）、社科院、高等院校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、省重点新型智库试点建设单位、重点研究基地等社科研究机构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副高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以上职称人员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征集，每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原则上报送选题3—5个。鼓励知名专家学者依托长期学术积累、丰富前期成果和个人学术创见提出有分量、有价值的研究选题。鼓励专家学者跨学科、跨部门、跨单位合作，特别是加强与实际工作部门合作，共同提出研究选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420" w:rightChars="200" w:firstLine="643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选题的产生和报送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20" w:rightChars="2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选题报送单位要结合自身研究优势和特色，组织专家学者进行充分论证和凝炼，确保选题的科学性和规范性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所征选题由科研管理部门汇总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填写《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江西省社会科学“十四五”（2021年）基金项目推荐选题汇总表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（附件）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420" w:rightChars="200" w:firstLine="643" w:firstLineChars="200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截止时间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20" w:rightChars="2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各有关单位于20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之前将所在单位的应征选题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汇总发送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至省社会科学规划办公室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E—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mail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instrText xml:space="preserve"> HYPERLINK "mailto:jxskghb@163.com" </w:instrTex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t>jxskghb@163.com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（请标注“某单位选题汇总表”字样）；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联系电话：0791-88596274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420" w:rightChars="2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420" w:rightChars="2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附件：江西省社会科学“十四五”（2021年）基金项目推荐选题汇总表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720" w:firstLineChars="200"/>
        <w:jc w:val="both"/>
        <w:textAlignment w:val="auto"/>
        <w:outlineLvl w:val="9"/>
        <w:rPr>
          <w:rFonts w:hint="eastAsia" w:ascii="仿宋_GB2312" w:eastAsia="仿宋_GB2312" w:cs="宋体"/>
          <w:spacing w:val="2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720" w:firstLineChars="200"/>
        <w:jc w:val="both"/>
        <w:textAlignment w:val="auto"/>
        <w:outlineLvl w:val="9"/>
        <w:rPr>
          <w:rFonts w:hint="eastAsia" w:ascii="仿宋_GB2312" w:eastAsia="仿宋_GB2312" w:cs="宋体"/>
          <w:spacing w:val="2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lef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江西省社会科学规划办公室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0" w:leftChars="0" w:right="42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720" w:firstLineChars="200"/>
        <w:jc w:val="both"/>
        <w:textAlignment w:val="auto"/>
        <w:outlineLvl w:val="9"/>
        <w:rPr>
          <w:rFonts w:hint="eastAsia" w:ascii="仿宋_GB2312" w:eastAsia="仿宋_GB2312" w:cs="宋体"/>
          <w:spacing w:val="20"/>
          <w:ker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420" w:righ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7686B"/>
    <w:multiLevelType w:val="singleLevel"/>
    <w:tmpl w:val="F55768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F77D4"/>
    <w:rsid w:val="059649D8"/>
    <w:rsid w:val="0C5346AC"/>
    <w:rsid w:val="1867688E"/>
    <w:rsid w:val="211164FF"/>
    <w:rsid w:val="2AB7503F"/>
    <w:rsid w:val="2C335031"/>
    <w:rsid w:val="37C20199"/>
    <w:rsid w:val="39B47382"/>
    <w:rsid w:val="4E8575EF"/>
    <w:rsid w:val="4FBB1F91"/>
    <w:rsid w:val="544F77D4"/>
    <w:rsid w:val="54CE45D6"/>
    <w:rsid w:val="73B37B28"/>
    <w:rsid w:val="743569E9"/>
    <w:rsid w:val="7D353C3B"/>
    <w:rsid w:val="7ED53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2021-01-19T09:02:00Z</dcterms:created>
  <dc:creator>悠悠我欣</dc:creator>
  <cp:lastModifiedBy>悠悠我欣</cp:lastModifiedBy>
  <dcterms:modified xsi:type="dcterms:W3CDTF">2021-01-20T09:14:07Z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234522829_btnclosed</vt:lpwstr>
  </property>
</Properties>
</file>