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2023年度国家社会科学基金项目申报公告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全国哲学社会科学工作办公室现发布《国家社会科学基金项目202</w:t>
      </w:r>
      <w:bookmarkStart w:id="0" w:name="_GoBack"/>
      <w:bookmarkEnd w:id="0"/>
      <w:r>
        <w:rPr>
          <w:rFonts w:hint="eastAsia" w:ascii="微软雅黑" w:hAnsi="微软雅黑" w:eastAsia="微软雅黑" w:cs="微软雅黑"/>
          <w:caps w:val="0"/>
          <w:color w:val="333333"/>
          <w:spacing w:val="0"/>
          <w:sz w:val="27"/>
          <w:szCs w:val="27"/>
          <w:bdr w:val="none" w:color="auto" w:sz="0" w:space="0"/>
        </w:rPr>
        <w:t>3年度课题指南》，并就做好2023年度国家社科基金项目申报工作的有关事项公告如下：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八、2023年度国家社科基金项目继续实行限额申报，限额指标另行下达。各省区市社科管理部门、在京委托管理机构和申请单位要着力提高申报质量，从严控制申报数量，特别是要减少同类选题重复申报。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十、国家社科基金项目完成时限：基础理论研究一般为3—5年，应用对策研究一般为2—3年。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十一、为避免一题多报、交叉申请和重复立项，确保申请人有足够的时间和精力从事课题研究，2023年度国家社科基金项目申报作如下限定：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（二）在研国家社科基金项目、国家自然科学基金项目及其他国家级科研项目负责人，不得申请新的国家社科基金项目（结项证书标注日期在2023年5月5日之前）。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（三）国家自然科学基金项目及其他国家级科研项目的申请人，同年度不能申请国家社科基金项目，其课题组成员也不能作为负责人以内容基本相同或相近选题申请国家社科基金项目。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（四）教育部人文社会科学研究一般项目的申请人，同年度不能申请国家社科基金项目。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（五）不得通过变换责任单位回避前述（一）至（四）条款规定，不得将内容基本相同或相近的申报材料以不同申请人的名义提出申请。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（八）不得使用与已出版的内容基本相同的研究成果申请国家社科基金项目。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（九）立项后凡以国家社科基金项目名义发表阶段性成果或最终成果，不得同时标注其他基金项目资助字样。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十三、申报课题全部实行同行专家通讯初评。初评采用《活页》匿名方式，《活页》论证字数不超过7000字，要按《活页》中规定的方式列出前期相关研究成果。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十五、项目申报材料从我办网站下载。纸质版《申请书》经所在单位审查盖章后，报送本省（区、市）社科管理部门或在京委托管理机构。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十八、2023年国家社科基金项目实行网络申报。申请人在线申报的同时仍需提交纸质版《申请书》一式3份，并确保线上线下《申请书》内容完全一致。《活页》不需提交纸质版。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十九、各省区市社科管理部门、在京委托管理机构要按规定做好申报信息审核，于5月12日17时前完成线上审核，6月2日前将纸质版《申请书》报送至我办。逾期不予受理。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2023年4月6日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mIwOTUxMTYwM2RhOTc5ODJhNDg3MzY1NTM1NzMifQ=="/>
  </w:docVars>
  <w:rsids>
    <w:rsidRoot w:val="00000000"/>
    <w:rsid w:val="15F20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3889</Words>
  <Characters>3999</Characters>
  <Lines>0</Lines>
  <Paragraphs>0</Paragraphs>
  <TotalTime>0</TotalTime>
  <ScaleCrop>false</ScaleCrop>
  <LinksUpToDate>false</LinksUpToDate>
  <CharactersWithSpaces>3999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2023-04-07T01:49:12Z</dcterms:created>
  <dc:creator>admin</dc:creator>
  <cp:lastModifiedBy>高玉霞</cp:lastModifiedBy>
  <dcterms:modified xsi:type="dcterms:W3CDTF">2023-04-07T01:49:30Z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9B097B2FF6E243C7AF305EFFA72E1834_12</vt:lpwstr>
  </property>
</Properties>
</file>