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90" w:rsidRPr="00294890" w:rsidRDefault="00294890" w:rsidP="00294890">
      <w:pPr>
        <w:jc w:val="left"/>
        <w:rPr>
          <w:rFonts w:ascii="黑体" w:eastAsia="黑体" w:hAnsi="黑体" w:cs="黑体" w:hint="eastAsia"/>
          <w:sz w:val="32"/>
          <w:szCs w:val="32"/>
          <w:shd w:val="clear" w:color="auto" w:fill="FFFFFF"/>
        </w:rPr>
      </w:pPr>
      <w:r w:rsidRPr="00294890"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附件1</w:t>
      </w:r>
    </w:p>
    <w:p w:rsidR="00294890" w:rsidRPr="00294890" w:rsidRDefault="00294890" w:rsidP="00294890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294890"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江西省宣传思想文化领域</w:t>
      </w:r>
      <w:r w:rsidRPr="00294890">
        <w:rPr>
          <w:rFonts w:ascii="方正小标宋简体" w:eastAsia="方正小标宋简体" w:hAnsi="方正小标宋简体" w:cs="方正小标宋简体" w:hint="eastAsia"/>
          <w:sz w:val="44"/>
          <w:szCs w:val="44"/>
        </w:rPr>
        <w:t>高层次人才</w:t>
      </w:r>
      <w:r w:rsidRPr="00294890"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专题项目（</w:t>
      </w:r>
      <w:r w:rsidRPr="00294890">
        <w:rPr>
          <w:rFonts w:ascii="方正小标宋简体" w:eastAsia="方正小标宋简体" w:hAnsi="方正小标宋简体" w:cs="方正小标宋简体" w:hint="eastAsia"/>
          <w:sz w:val="44"/>
          <w:szCs w:val="44"/>
        </w:rPr>
        <w:t>理论研究类）课题指南</w:t>
      </w:r>
    </w:p>
    <w:p w:rsidR="00294890" w:rsidRPr="00294890" w:rsidRDefault="00294890" w:rsidP="00294890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1.习近平新时代中国特色社会主义思想的学理化阐释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2.习近平总书记关于中华民族现代文明的重要论述研究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3.习近平总书记传统文化用典研究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4.马克思主义中国化时代</w:t>
      </w:r>
      <w:bookmarkStart w:id="0" w:name="_GoBack"/>
      <w:bookmarkEnd w:id="0"/>
      <w:r w:rsidRPr="00294890">
        <w:rPr>
          <w:rFonts w:ascii="仿宋_GB2312" w:eastAsia="仿宋_GB2312" w:hAnsi="仿宋_GB2312" w:cs="仿宋_GB2312" w:hint="eastAsia"/>
          <w:sz w:val="32"/>
          <w:szCs w:val="32"/>
        </w:rPr>
        <w:t>化的文明根基、历史进程和基本经验研究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5.马克思主义与中华优秀传统文化相结合的内在逻辑与实现路径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6.马克思主义中国化时代化视阈下“第二个结合”逻辑机理研究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7.加快形成新质生产力，增强发展新动能研究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 xml:space="preserve">8.“党的全面领导”的理论建构与制度路径研究  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 xml:space="preserve">9.“大党独有难题”的内涵、成因与破解之道研究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10.中国式现代化蕴含的独特世界观、价值观、历史观、文明观、民主观、生态观研究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11.更好地担负起新时代新的文化使命研究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 xml:space="preserve">12.国家安全体系和能力现代化研究 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13.中华文明的“五个突出特性”研究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pacing w:val="-11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14.</w:t>
      </w:r>
      <w:r w:rsidRPr="00294890">
        <w:rPr>
          <w:rFonts w:ascii="仿宋_GB2312" w:eastAsia="仿宋_GB2312" w:hAnsi="仿宋_GB2312" w:cs="仿宋_GB2312" w:hint="eastAsia"/>
          <w:spacing w:val="-11"/>
          <w:sz w:val="32"/>
          <w:szCs w:val="32"/>
        </w:rPr>
        <w:t>新时代中华优秀传统文化传承的理论基础与现实路径研究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15.中华优秀传统文化大中小一体化教育体系构建研究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lastRenderedPageBreak/>
        <w:t xml:space="preserve">16.中华传统美德的历史嬗变、基本精神与传承发展研究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 xml:space="preserve">17.新形势下意识形态风险防范及应对机制研究    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 xml:space="preserve">18.新时代党的意识形态工作的重大成就与基本经验研究  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19.中国共产党领导社会主义法治建设的实践和经验研究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20.促进干部担当作为的激励机制和容错机制研究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 xml:space="preserve">21.中国共产党各阶段历史口述资料采集、整理与研究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22.中央苏区时期中国共产党对待传统文化的探索历程与历史经验研究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23.赣</w:t>
      </w:r>
      <w:proofErr w:type="gramStart"/>
      <w:r w:rsidRPr="00294890">
        <w:rPr>
          <w:rFonts w:ascii="仿宋_GB2312" w:eastAsia="仿宋_GB2312" w:hAnsi="仿宋_GB2312" w:cs="仿宋_GB2312" w:hint="eastAsia"/>
          <w:sz w:val="32"/>
          <w:szCs w:val="32"/>
        </w:rPr>
        <w:t>鄱</w:t>
      </w:r>
      <w:proofErr w:type="gramEnd"/>
      <w:r w:rsidRPr="00294890">
        <w:rPr>
          <w:rFonts w:ascii="仿宋_GB2312" w:eastAsia="仿宋_GB2312" w:hAnsi="仿宋_GB2312" w:cs="仿宋_GB2312" w:hint="eastAsia"/>
          <w:sz w:val="32"/>
          <w:szCs w:val="32"/>
        </w:rPr>
        <w:t>优秀传统文化对中华民族现代文明建设的价值意蕴研究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24.江西传统文化保护与创新驱动的协同发展策略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25.</w:t>
      </w:r>
      <w:proofErr w:type="gramStart"/>
      <w:r w:rsidRPr="00294890">
        <w:rPr>
          <w:rFonts w:ascii="仿宋_GB2312" w:eastAsia="仿宋_GB2312" w:hAnsi="仿宋_GB2312" w:cs="仿宋_GB2312" w:hint="eastAsia"/>
          <w:sz w:val="32"/>
          <w:szCs w:val="32"/>
        </w:rPr>
        <w:t>数智化</w:t>
      </w:r>
      <w:proofErr w:type="gramEnd"/>
      <w:r w:rsidRPr="00294890">
        <w:rPr>
          <w:rFonts w:ascii="仿宋_GB2312" w:eastAsia="仿宋_GB2312" w:hAnsi="仿宋_GB2312" w:cs="仿宋_GB2312" w:hint="eastAsia"/>
          <w:sz w:val="32"/>
          <w:szCs w:val="32"/>
        </w:rPr>
        <w:t>赋能革命老区高质量发展促进“文化强省”建设研究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26.现当代江西诗派与群体研究与数据库建设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27.“江西词派”在中华文化历史进程中的作用及地位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28.江西历代名人名家联墨研究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29.江西古代矿冶遗址的分布、分期与特征研究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30.江西传统书院文化的教育思想及其现代化路径研究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31.庐陵文化的现代阐释与发展路径研究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32.庐山诗词文化的现代传承研究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33.孔子“仁”的学说与王阳明“心学”的融合探索与研究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34.伟大建军精神的核心要义、生成逻辑与时代价值研究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35.八一南昌起义的历史地位、科学内涵和时代价值研究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36.方志敏革命精神时代价值阐释和传承机制研究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37.新时代背景下安源精神的传承与发展研究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38.</w:t>
      </w:r>
      <w:r w:rsidRPr="00294890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建好</w:t>
      </w:r>
      <w:r w:rsidRPr="00294890">
        <w:rPr>
          <w:rFonts w:ascii="仿宋_GB2312" w:eastAsia="仿宋_GB2312" w:hAnsi="仿宋_GB2312" w:cs="仿宋_GB2312" w:hint="eastAsia"/>
          <w:sz w:val="32"/>
          <w:szCs w:val="32"/>
        </w:rPr>
        <w:t>景德镇</w:t>
      </w:r>
      <w:r w:rsidRPr="00294890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国家陶瓷文化传承创新试验区、</w:t>
      </w:r>
      <w:r w:rsidRPr="00294890">
        <w:rPr>
          <w:rFonts w:ascii="仿宋_GB2312" w:eastAsia="仿宋_GB2312" w:hAnsi="仿宋_GB2312" w:cs="仿宋_GB2312" w:hint="eastAsia"/>
          <w:sz w:val="32"/>
          <w:szCs w:val="32"/>
        </w:rPr>
        <w:t>打造对外文化交流新平台的实现路径研究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 xml:space="preserve">39.推动现代服务业同先进制造业、现代农业深度融合研究  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数字化赋能服务业高质量发展研究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40.</w:t>
      </w:r>
      <w:proofErr w:type="gramStart"/>
      <w:r w:rsidRPr="00294890">
        <w:rPr>
          <w:rFonts w:ascii="仿宋_GB2312" w:eastAsia="仿宋_GB2312" w:hAnsi="仿宋_GB2312" w:cs="仿宋_GB2312" w:hint="eastAsia"/>
          <w:sz w:val="32"/>
          <w:szCs w:val="32"/>
        </w:rPr>
        <w:t>双碳目标</w:t>
      </w:r>
      <w:proofErr w:type="gramEnd"/>
      <w:r w:rsidRPr="00294890">
        <w:rPr>
          <w:rFonts w:ascii="仿宋_GB2312" w:eastAsia="仿宋_GB2312" w:hAnsi="仿宋_GB2312" w:cs="仿宋_GB2312" w:hint="eastAsia"/>
          <w:sz w:val="32"/>
          <w:szCs w:val="32"/>
        </w:rPr>
        <w:t>下制造业协同创新发展测度及提升路径研究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pacing w:val="-11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41.</w:t>
      </w:r>
      <w:r w:rsidRPr="00294890">
        <w:rPr>
          <w:rFonts w:ascii="仿宋_GB2312" w:eastAsia="仿宋_GB2312" w:hAnsi="仿宋_GB2312" w:cs="仿宋_GB2312" w:hint="eastAsia"/>
          <w:spacing w:val="-11"/>
          <w:sz w:val="32"/>
          <w:szCs w:val="32"/>
        </w:rPr>
        <w:t>共同富裕的阶段性目标及其评价标准和指标体系建设研究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42.数字经济与实体经济的深度融合研究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 xml:space="preserve">43.高水平对外开放背景下的服务贸易发展研究 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44.提升基本公共服务体系的可及性与均衡性路径研究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 xml:space="preserve">45.高标准自由贸易区网络构建战略研究    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 xml:space="preserve">46.新发展阶段优化营商环境研究   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47.明代赣</w:t>
      </w:r>
      <w:proofErr w:type="gramStart"/>
      <w:r w:rsidRPr="00294890">
        <w:rPr>
          <w:rFonts w:ascii="仿宋_GB2312" w:eastAsia="仿宋_GB2312" w:hAnsi="仿宋_GB2312" w:cs="仿宋_GB2312" w:hint="eastAsia"/>
          <w:sz w:val="32"/>
          <w:szCs w:val="32"/>
        </w:rPr>
        <w:t>鄱</w:t>
      </w:r>
      <w:proofErr w:type="gramEnd"/>
      <w:r w:rsidRPr="00294890">
        <w:rPr>
          <w:rFonts w:ascii="仿宋_GB2312" w:eastAsia="仿宋_GB2312" w:hAnsi="仿宋_GB2312" w:cs="仿宋_GB2312" w:hint="eastAsia"/>
          <w:sz w:val="32"/>
          <w:szCs w:val="32"/>
        </w:rPr>
        <w:t>思想家家风文献整理与研究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48.白鹿洞书院教育理念的现代化研究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49.基于文化传承的景德镇传统制瓷工艺研究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294890">
        <w:rPr>
          <w:rFonts w:ascii="仿宋_GB2312" w:eastAsia="仿宋_GB2312" w:hAnsi="仿宋_GB2312" w:cs="仿宋_GB2312" w:hint="eastAsia"/>
          <w:sz w:val="32"/>
          <w:szCs w:val="32"/>
        </w:rPr>
        <w:t>50.文化传承视角下南昌传统园林水系格局演变研究</w:t>
      </w: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jc w:val="left"/>
        <w:rPr>
          <w:rFonts w:ascii="黑体" w:eastAsia="黑体" w:hAnsi="黑体" w:cs="黑体" w:hint="eastAsia"/>
          <w:sz w:val="32"/>
          <w:szCs w:val="32"/>
        </w:rPr>
      </w:pP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jc w:val="left"/>
        <w:rPr>
          <w:rFonts w:ascii="黑体" w:eastAsia="黑体" w:hAnsi="黑体" w:cs="黑体" w:hint="eastAsia"/>
          <w:sz w:val="32"/>
          <w:szCs w:val="32"/>
        </w:rPr>
      </w:pP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jc w:val="left"/>
        <w:rPr>
          <w:rFonts w:ascii="黑体" w:eastAsia="黑体" w:hAnsi="黑体" w:cs="黑体" w:hint="eastAsia"/>
          <w:sz w:val="32"/>
          <w:szCs w:val="32"/>
        </w:rPr>
      </w:pPr>
    </w:p>
    <w:p w:rsidR="00294890" w:rsidRPr="00294890" w:rsidRDefault="00294890" w:rsidP="00294890">
      <w:pPr>
        <w:tabs>
          <w:tab w:val="center" w:pos="4153"/>
          <w:tab w:val="right" w:pos="8306"/>
        </w:tabs>
        <w:snapToGrid w:val="0"/>
        <w:jc w:val="left"/>
        <w:rPr>
          <w:rFonts w:ascii="黑体" w:eastAsia="黑体" w:hAnsi="黑体" w:cs="黑体" w:hint="eastAsia"/>
          <w:sz w:val="32"/>
          <w:szCs w:val="32"/>
        </w:rPr>
      </w:pPr>
    </w:p>
    <w:p w:rsidR="00294890" w:rsidRPr="00294890" w:rsidRDefault="00294890" w:rsidP="00294890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294890" w:rsidRPr="00294890" w:rsidRDefault="00294890" w:rsidP="00294890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0326B0" w:rsidRPr="00294890" w:rsidRDefault="000326B0"/>
    <w:sectPr w:rsidR="000326B0" w:rsidRPr="002948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09" w:rsidRDefault="009D2409" w:rsidP="00294890">
      <w:r>
        <w:separator/>
      </w:r>
    </w:p>
  </w:endnote>
  <w:endnote w:type="continuationSeparator" w:id="0">
    <w:p w:rsidR="009D2409" w:rsidRDefault="009D2409" w:rsidP="0029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09" w:rsidRDefault="009D2409" w:rsidP="00294890">
      <w:r>
        <w:separator/>
      </w:r>
    </w:p>
  </w:footnote>
  <w:footnote w:type="continuationSeparator" w:id="0">
    <w:p w:rsidR="009D2409" w:rsidRDefault="009D2409" w:rsidP="00294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C9"/>
    <w:rsid w:val="000326B0"/>
    <w:rsid w:val="00077B98"/>
    <w:rsid w:val="001F0AF6"/>
    <w:rsid w:val="00294890"/>
    <w:rsid w:val="00424302"/>
    <w:rsid w:val="009D2409"/>
    <w:rsid w:val="00B82BC9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4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48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48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48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4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48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48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48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caiewww</dc:creator>
  <cp:keywords/>
  <dc:description/>
  <cp:lastModifiedBy>caiewww</cp:lastModifiedBy>
  <cp:revision>2</cp:revision>
  <dcterms:created xsi:type="dcterms:W3CDTF">2023-09-27T07:37:00Z</dcterms:created>
  <dcterms:modified xsi:type="dcterms:W3CDTF">2023-09-27T07:47:00Z</dcterms:modified>
</cp:coreProperties>
</file>