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24"/>
          <w:szCs w:val="24"/>
        </w:rPr>
      </w:pPr>
      <w:bookmarkStart w:id="0" w:name="_GoBack"/>
      <w:bookmarkEnd w:id="0"/>
      <w:r>
        <w:rPr>
          <w:rFonts w:hint="eastAsia" w:ascii="黑体" w:hAnsi="黑体" w:eastAsia="黑体"/>
          <w:sz w:val="24"/>
          <w:szCs w:val="24"/>
        </w:rPr>
        <w:t>2020年度国家自然科学基金指南引导类原创探索</w:t>
      </w:r>
    </w:p>
    <w:p>
      <w:pPr>
        <w:spacing w:line="360" w:lineRule="auto"/>
        <w:jc w:val="center"/>
        <w:rPr>
          <w:rFonts w:hint="eastAsia" w:ascii="黑体" w:hAnsi="黑体" w:eastAsia="黑体"/>
          <w:sz w:val="24"/>
          <w:szCs w:val="24"/>
        </w:rPr>
      </w:pPr>
      <w:r>
        <w:rPr>
          <w:rFonts w:hint="eastAsia" w:ascii="黑体" w:hAnsi="黑体" w:eastAsia="黑体"/>
          <w:sz w:val="24"/>
          <w:szCs w:val="24"/>
        </w:rPr>
        <w:t>——面向复杂对象的人工智能理论基础研究项目指南</w:t>
      </w:r>
    </w:p>
    <w:p>
      <w:pPr>
        <w:spacing w:line="360" w:lineRule="auto"/>
      </w:pPr>
      <w:r>
        <w:rPr>
          <w:rFonts w:hint="eastAsia"/>
        </w:rPr>
        <w:t>　　为贯彻落实党中央、国务院关于加强基础研究的重要战略部署，进一步强化原始创新，推动学科交叉，积极应对科学研究范式变革，国家自然科学基金委员会（以下简称自然科学基金委）信息科学部拟资助面向复杂对象的人工智能理论基础研究原创探索计划项目（以下简称原创项目）。以深度学习和大数据为基础，以AlphaGo为典型应用掀起了人工智能的第三次高潮，但这种基于深度神经网络的人工智能具有不可解释性。本项目旨在通过信息科学与数学、物理学、化学等基础学科的深度交叉融合，鼓励跨学科、跨领域交叉研究并结合重大需求问题，从复杂性与多尺度视角探索人工智能基础理论与方法，突破现有人工智能可解释性瓶颈，推动动态、稳健与可信的智能模型与方法体系的构建，并在相关应用领域验证可解释的原型系统或实现典型示范应用系统。</w:t>
      </w:r>
    </w:p>
    <w:p>
      <w:pPr>
        <w:spacing w:line="360" w:lineRule="auto"/>
      </w:pPr>
      <w:r>
        <w:rPr>
          <w:rFonts w:hint="eastAsia"/>
        </w:rPr>
        <w:t>　　一、科学目标</w:t>
      </w:r>
    </w:p>
    <w:p>
      <w:pPr>
        <w:spacing w:line="360" w:lineRule="auto"/>
      </w:pPr>
      <w:r>
        <w:rPr>
          <w:rFonts w:hint="eastAsia"/>
        </w:rPr>
        <w:t>　　聚焦人工智能可解释性问题，结合诸如深时数字地球大科学计划、煤和石油的高效洁净综合利用等各领域国家重大战略需求，通过探讨复杂系统的多层次、多尺度耦合关联机制以及动态时空结构，发展内嵌底层逻辑和物理内涵、融合复杂性科学和多尺度分析的人工智能新的理论体系，从系统科学角度建立大数据的精准认知和智能学习方法，为新一代基于复杂性的可解释精准智能提供理论基础。</w:t>
      </w:r>
    </w:p>
    <w:p>
      <w:pPr>
        <w:spacing w:line="360" w:lineRule="auto"/>
        <w:rPr>
          <w:rFonts w:hint="eastAsia"/>
        </w:rPr>
      </w:pPr>
      <w:r>
        <w:rPr>
          <w:rFonts w:hint="eastAsia"/>
        </w:rPr>
        <w:t>　　二、核心科学问题</w:t>
      </w:r>
    </w:p>
    <w:p>
      <w:pPr>
        <w:spacing w:line="360" w:lineRule="auto"/>
      </w:pPr>
      <w:r>
        <w:rPr>
          <w:rFonts w:hint="eastAsia"/>
        </w:rPr>
        <w:t>　　从复杂性科学的视角，基于复杂系统的逻辑关系构建可解释人工智能的新理论框架。</w:t>
      </w:r>
    </w:p>
    <w:p>
      <w:pPr>
        <w:spacing w:line="360" w:lineRule="auto"/>
      </w:pPr>
      <w:r>
        <w:rPr>
          <w:rFonts w:hint="eastAsia"/>
        </w:rPr>
        <w:t>　　本项目旨在从大数据结构复杂性、数据系统演化复杂性及系统行为演进复杂性等角度揭示复杂系统多变量主因素的非线性关系，通过多层次、多尺度耦合关联建模阐释其内在规律，重点关注系统中介尺度机制和效应对系统的影响，精准动态识别系统的复杂性特征行为模式，形成可解释人工智能的方法体系。研究方向主要包括以单元数据构建整体数据的复杂数据感知，以数据系统构建智能学习模型的复杂系统构建，以学习模型分析系统特征演化的复杂行为智能分析。</w:t>
      </w:r>
    </w:p>
    <w:p>
      <w:pPr>
        <w:spacing w:line="360" w:lineRule="auto"/>
        <w:rPr>
          <w:rFonts w:hint="eastAsia"/>
        </w:rPr>
      </w:pPr>
      <w:r>
        <w:rPr>
          <w:rFonts w:hint="eastAsia"/>
        </w:rPr>
        <w:t>　　三、2020年度主要资助方向</w:t>
      </w:r>
    </w:p>
    <w:p>
      <w:pPr>
        <w:spacing w:line="360" w:lineRule="auto"/>
      </w:pPr>
      <w:r>
        <w:rPr>
          <w:rFonts w:hint="eastAsia"/>
        </w:rPr>
        <w:t>　　（一）复杂数据感知</w:t>
      </w:r>
    </w:p>
    <w:p>
      <w:pPr>
        <w:spacing w:line="360" w:lineRule="auto"/>
      </w:pPr>
      <w:r>
        <w:rPr>
          <w:rFonts w:hint="eastAsia"/>
        </w:rPr>
        <w:t>　　探索大数据蕴含的物理机制和逻辑关系复杂性，融合先验知识以构建科学数据系统。基于对系统的物理背景研究和多源高维大数据处理技术，探索大数据中的多层次、多尺度耦合关联结构，发展内嵌先验知识的数据表示范式，提出科学标注理论与方法，建立内嵌时空特征与数理等规律的具有可解释性的科学数据系统。</w:t>
      </w:r>
    </w:p>
    <w:p>
      <w:pPr>
        <w:spacing w:line="360" w:lineRule="auto"/>
      </w:pPr>
      <w:r>
        <w:rPr>
          <w:rFonts w:hint="eastAsia"/>
        </w:rPr>
        <w:t>　　（二）复杂系统构建</w:t>
      </w:r>
    </w:p>
    <w:p>
      <w:pPr>
        <w:spacing w:line="360" w:lineRule="auto"/>
      </w:pPr>
      <w:r>
        <w:rPr>
          <w:rFonts w:hint="eastAsia"/>
        </w:rPr>
        <w:t>　　基于非线性的复杂逻辑关系，探索融合先验知识的数据系统的智能学习模型及其建模方法。分析影响复杂数据系统时空多尺度动态结构的相互作用机制，探索介尺度中多种调控机制在竞争中协调的物理机理对智能学习模型的影响，基于耦合解耦方法、多目标变分等方法研究各层次、多尺度耦合关系及其优化策略，构建具有可解释性的人工智能动态学习模型。</w:t>
      </w:r>
    </w:p>
    <w:p>
      <w:pPr>
        <w:spacing w:line="360" w:lineRule="auto"/>
      </w:pPr>
      <w:r>
        <w:rPr>
          <w:rFonts w:hint="eastAsia"/>
        </w:rPr>
        <w:t>　　（三）复杂行为智能分析</w:t>
      </w:r>
    </w:p>
    <w:p>
      <w:pPr>
        <w:spacing w:line="360" w:lineRule="auto"/>
      </w:pPr>
      <w:r>
        <w:rPr>
          <w:rFonts w:hint="eastAsia"/>
        </w:rPr>
        <w:t>　　主要研究基于复杂行为演进的动态调控策略，提出基于系统特征的精准分析方法。探索智能模型行为演化的系统稳定性，发展基于局部特征的全局性动态分析方法，揭示基于相变和涌现机制的系统突变行为模式和基于多尺度分析的系统突变机理，提出具有可解释性与可调控性的人工智能新理论和新方法。</w:t>
      </w:r>
    </w:p>
    <w:p>
      <w:pPr>
        <w:spacing w:line="360" w:lineRule="auto"/>
      </w:pPr>
      <w:r>
        <w:rPr>
          <w:rFonts w:hint="eastAsia"/>
        </w:rPr>
        <w:t>　　四、资助期限和资助强度</w:t>
      </w:r>
    </w:p>
    <w:p>
      <w:pPr>
        <w:spacing w:line="360" w:lineRule="auto"/>
      </w:pPr>
      <w:r>
        <w:rPr>
          <w:rFonts w:hint="eastAsia"/>
        </w:rPr>
        <w:t>　　资助期限一般为1-3年，资助强度一般不超过100万元/年，资助项目数不超过10项。申请人可根据研究工作的实际需要，实事求是地选择资助期限和提出资金需求。</w:t>
      </w:r>
    </w:p>
    <w:p>
      <w:pPr>
        <w:spacing w:line="360" w:lineRule="auto"/>
      </w:pPr>
      <w:r>
        <w:rPr>
          <w:rFonts w:hint="eastAsia"/>
        </w:rPr>
        <w:t>　　五、申请要求</w:t>
      </w:r>
    </w:p>
    <w:p>
      <w:pPr>
        <w:spacing w:line="360" w:lineRule="auto"/>
      </w:pPr>
      <w:r>
        <w:rPr>
          <w:rFonts w:hint="eastAsia"/>
        </w:rPr>
        <w:t>　　（一）申请资格</w:t>
      </w:r>
    </w:p>
    <w:p>
      <w:pPr>
        <w:spacing w:line="360" w:lineRule="auto"/>
        <w:rPr>
          <w:rFonts w:hint="eastAsia"/>
        </w:rPr>
      </w:pPr>
      <w:r>
        <w:rPr>
          <w:rFonts w:hint="eastAsia"/>
        </w:rPr>
        <w:t>　　具有承担基础研究项目（课题）或其他基础研究经历的科学技术人员均可提出申请。</w:t>
      </w:r>
    </w:p>
    <w:p>
      <w:pPr>
        <w:spacing w:line="360" w:lineRule="auto"/>
      </w:pPr>
      <w:r>
        <w:rPr>
          <w:rFonts w:hint="eastAsia"/>
        </w:rPr>
        <w:t>　　（二）限项申请规定</w:t>
      </w:r>
    </w:p>
    <w:p>
      <w:pPr>
        <w:spacing w:line="360" w:lineRule="auto"/>
      </w:pPr>
      <w:r>
        <w:rPr>
          <w:rFonts w:hint="eastAsia"/>
        </w:rPr>
        <w:t>　　1. 申请人同年只能申请1项原创项目（含预申请）。</w:t>
      </w:r>
    </w:p>
    <w:p>
      <w:pPr>
        <w:spacing w:line="360" w:lineRule="auto"/>
      </w:pPr>
      <w:r>
        <w:rPr>
          <w:rFonts w:hint="eastAsia"/>
        </w:rPr>
        <w:t>　　2. 原创项目从预申请开始直到自然科学基金委作出资助与否决定之前，不计入申请和承担总数范围；获资助后计入申请和承担总数范围。</w:t>
      </w:r>
    </w:p>
    <w:p>
      <w:pPr>
        <w:spacing w:line="360" w:lineRule="auto"/>
      </w:pPr>
      <w:r>
        <w:rPr>
          <w:rFonts w:hint="eastAsia"/>
        </w:rPr>
        <w:t>　　3. 为保证项目负责人集中精力开展研究，正在资助期内的原创项目负责人不得作为申请人申请除国家杰出青年科学基金项目和优秀青年科学基金项目之外的国家自然科学基金项目。</w:t>
      </w:r>
    </w:p>
    <w:p>
      <w:pPr>
        <w:spacing w:line="360" w:lineRule="auto"/>
      </w:pPr>
      <w:r>
        <w:rPr>
          <w:rFonts w:hint="eastAsia"/>
        </w:rPr>
        <w:t>　　4. 应符合《2020年度国家自然科学基金项目指南》中对申请数量的限制。</w:t>
      </w:r>
    </w:p>
    <w:p>
      <w:pPr>
        <w:spacing w:line="360" w:lineRule="auto"/>
        <w:rPr>
          <w:rFonts w:hint="eastAsia"/>
        </w:rPr>
      </w:pPr>
      <w:r>
        <w:rPr>
          <w:rFonts w:hint="eastAsia"/>
        </w:rPr>
        <w:t>　　六、申请程序</w:t>
      </w:r>
    </w:p>
    <w:p>
      <w:pPr>
        <w:spacing w:line="360" w:lineRule="auto"/>
      </w:pPr>
      <w:r>
        <w:rPr>
          <w:rFonts w:hint="eastAsia"/>
        </w:rPr>
        <w:t>　　（一）预申请</w:t>
      </w:r>
    </w:p>
    <w:p>
      <w:pPr>
        <w:spacing w:line="360" w:lineRule="auto"/>
      </w:pPr>
      <w:r>
        <w:rPr>
          <w:rFonts w:hint="eastAsia"/>
        </w:rPr>
        <w:t>　　1. 预申请提交时间为2020年5月5日-6月5日16时。</w:t>
      </w:r>
    </w:p>
    <w:p>
      <w:pPr>
        <w:spacing w:line="360" w:lineRule="auto"/>
      </w:pPr>
      <w:r>
        <w:rPr>
          <w:rFonts w:hint="eastAsia"/>
        </w:rPr>
        <w:t>　　2. 请申请人登录国家自然科学基金网络信息系统（以下简称信息系统）https://isisn.nsfc.gov.cn撰写预申请。没有信息系统账号的申请人请向依托单位基金管理联系人申请开户。在信息系统“申请与受理”菜单下，点击“原创项目预申请”，进入预申请填写页面，选择“指南引导类”，附注说明选择“面向复杂对象的人工智能”，申请代码1选择F0602或者F0601，申请代码2根据项目研究所涉及的领域自行选择相应学科申请代码。</w:t>
      </w:r>
    </w:p>
    <w:p>
      <w:pPr>
        <w:spacing w:line="360" w:lineRule="auto"/>
      </w:pPr>
      <w:r>
        <w:rPr>
          <w:rFonts w:hint="eastAsia"/>
        </w:rPr>
        <w:t>　　3．预申请主要阐述所提学术思想的原创性、科学性和潜在影响力，字数控制在2000字以内。申请人按照信息系统中的有关提示填写预申请相关内容后直接提交至自然科学基金委。</w:t>
      </w:r>
    </w:p>
    <w:p>
      <w:pPr>
        <w:spacing w:line="360" w:lineRule="auto"/>
        <w:rPr>
          <w:rFonts w:hint="eastAsia"/>
        </w:rPr>
      </w:pPr>
      <w:r>
        <w:rPr>
          <w:rFonts w:hint="eastAsia"/>
        </w:rPr>
        <w:t>　　4．自然科学基金委受理预申请并组织审查。审查结果将以电子邮件形式反馈至申请人。</w:t>
      </w:r>
    </w:p>
    <w:p>
      <w:pPr>
        <w:spacing w:line="360" w:lineRule="auto"/>
        <w:rPr>
          <w:rFonts w:hint="eastAsia"/>
        </w:rPr>
      </w:pPr>
      <w:r>
        <w:rPr>
          <w:rFonts w:hint="eastAsia"/>
        </w:rPr>
        <w:t>　　（二）正式申请</w:t>
      </w:r>
    </w:p>
    <w:p>
      <w:pPr>
        <w:spacing w:line="360" w:lineRule="auto"/>
        <w:rPr>
          <w:rFonts w:hint="eastAsia"/>
        </w:rPr>
      </w:pPr>
      <w:r>
        <w:rPr>
          <w:rFonts w:hint="eastAsia"/>
        </w:rPr>
        <w:t>　　1. 预申请审查通过的申请人，应按照“专项项目-原创探索计划项目正式申请书撰写提纲”要求填写正式申请书。正式申请的核心研究内容应与预申请一致。</w:t>
      </w:r>
    </w:p>
    <w:p>
      <w:pPr>
        <w:spacing w:line="360" w:lineRule="auto"/>
        <w:rPr>
          <w:rFonts w:hint="eastAsia"/>
        </w:rPr>
      </w:pPr>
      <w:r>
        <w:rPr>
          <w:rFonts w:hint="eastAsia"/>
        </w:rPr>
        <w:t>　　2. 除特别说明外，每个原创项目的合作研究单位数合计不超过2个。</w:t>
      </w:r>
    </w:p>
    <w:p>
      <w:pPr>
        <w:spacing w:line="360" w:lineRule="auto"/>
        <w:rPr>
          <w:rFonts w:hint="eastAsia"/>
        </w:rPr>
      </w:pPr>
      <w:r>
        <w:rPr>
          <w:rFonts w:hint="eastAsia"/>
        </w:rPr>
        <w:t>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pPr>
        <w:spacing w:line="360" w:lineRule="auto"/>
      </w:pPr>
      <w:r>
        <w:rPr>
          <w:rFonts w:hint="eastAsia"/>
        </w:rPr>
        <w:t>　　4. 申请人完成申请书撰写后，在线提交电子申请书及附件材料。</w:t>
      </w:r>
    </w:p>
    <w:p>
      <w:pPr>
        <w:spacing w:line="360" w:lineRule="auto"/>
      </w:pPr>
      <w:r>
        <w:rPr>
          <w:rFonts w:hint="eastAsia"/>
        </w:rPr>
        <w:t>　　5. 依托单位应对本单位申请人所提交申请材料的真实性和完整性进行审核。原创项目采用无纸化申请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pPr>
        <w:spacing w:line="360" w:lineRule="auto"/>
      </w:pPr>
      <w:r>
        <w:rPr>
          <w:rFonts w:hint="eastAsia"/>
        </w:rPr>
        <w:t>　　6. 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pPr>
        <w:spacing w:line="360" w:lineRule="auto"/>
      </w:pPr>
      <w:r>
        <w:rPr>
          <w:rFonts w:hint="eastAsia"/>
        </w:rPr>
        <w:t>　　7.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pPr>
        <w:spacing w:line="360" w:lineRule="auto"/>
      </w:pPr>
      <w:r>
        <w:rPr>
          <w:rFonts w:hint="eastAsia"/>
        </w:rPr>
        <w:t>　　七、注意事项</w:t>
      </w:r>
    </w:p>
    <w:p>
      <w:pPr>
        <w:spacing w:line="360" w:lineRule="auto"/>
      </w:pPr>
      <w:r>
        <w:rPr>
          <w:rFonts w:hint="eastAsia"/>
        </w:rPr>
        <w:t>　　（一）资助项目信息公布</w:t>
      </w:r>
    </w:p>
    <w:p>
      <w:pPr>
        <w:spacing w:line="360" w:lineRule="auto"/>
      </w:pPr>
      <w:r>
        <w:rPr>
          <w:rFonts w:hint="eastAsia"/>
        </w:rPr>
        <w:t>　　自然科学基金委将在官方网站公布资助原创项目基本信息。</w:t>
      </w:r>
    </w:p>
    <w:p>
      <w:pPr>
        <w:spacing w:line="360" w:lineRule="auto"/>
      </w:pPr>
      <w:r>
        <w:rPr>
          <w:rFonts w:hint="eastAsia"/>
        </w:rPr>
        <w:t>　　（二）项目实施保障</w:t>
      </w:r>
    </w:p>
    <w:p>
      <w:pPr>
        <w:spacing w:line="360" w:lineRule="auto"/>
        <w:rPr>
          <w:rFonts w:hint="eastAsia"/>
        </w:rPr>
      </w:pPr>
      <w:r>
        <w:rPr>
          <w:rFonts w:hint="eastAsia"/>
        </w:rPr>
        <w:t>　　原创项目负责人应将主要精力投入原创项目的研究中;依托单位应加强对原创项目实施的监督、管理和服务，减轻项目负责人不必要的负担，为项目研究提供必要的制度和条件保障。</w:t>
      </w:r>
    </w:p>
    <w:p>
      <w:pPr>
        <w:spacing w:line="360" w:lineRule="auto"/>
      </w:pPr>
      <w:r>
        <w:rPr>
          <w:rFonts w:hint="eastAsia"/>
        </w:rPr>
        <w:t>　　（三）其他</w:t>
      </w:r>
    </w:p>
    <w:p>
      <w:pPr>
        <w:spacing w:line="360" w:lineRule="auto"/>
      </w:pPr>
      <w:r>
        <w:rPr>
          <w:rFonts w:hint="eastAsia"/>
        </w:rPr>
        <w:t>　　原创项目申请与资助不设复审环节。</w:t>
      </w:r>
    </w:p>
    <w:p>
      <w:pPr>
        <w:spacing w:line="360" w:lineRule="auto"/>
      </w:pPr>
      <w:r>
        <w:rPr>
          <w:rFonts w:hint="eastAsia"/>
        </w:rPr>
        <w:t>　　自然科学基金委将把相关项目负责人项目执行情况和评审专家的评审情况计入信誉档案。</w:t>
      </w:r>
    </w:p>
    <w:p>
      <w:pPr>
        <w:spacing w:line="360" w:lineRule="auto"/>
      </w:pPr>
      <w:r>
        <w:rPr>
          <w:rFonts w:hint="eastAsia"/>
        </w:rPr>
        <w:t>　　（四）咨询方式</w:t>
      </w:r>
    </w:p>
    <w:p>
      <w:pPr>
        <w:spacing w:line="360" w:lineRule="auto"/>
        <w:rPr>
          <w:rFonts w:hint="eastAsia"/>
        </w:rPr>
      </w:pPr>
      <w:r>
        <w:rPr>
          <w:rFonts w:hint="eastAsia"/>
        </w:rPr>
        <w:t>　　自然科学基金委信息科学部信息科学三处</w:t>
      </w:r>
    </w:p>
    <w:p>
      <w:pPr>
        <w:spacing w:line="360" w:lineRule="auto"/>
        <w:rPr>
          <w:rFonts w:hint="eastAsia"/>
        </w:rPr>
      </w:pPr>
      <w:r>
        <w:rPr>
          <w:rFonts w:hint="eastAsia"/>
        </w:rPr>
        <w:t>　　联系人：吴国政　　</w:t>
      </w:r>
    </w:p>
    <w:p>
      <w:pPr>
        <w:spacing w:line="360" w:lineRule="auto"/>
      </w:pPr>
      <w:r>
        <w:rPr>
          <w:rFonts w:hint="eastAsia"/>
        </w:rPr>
        <w:t xml:space="preserve">    联系电话：010-62327929</w:t>
      </w:r>
    </w:p>
    <w:p>
      <w:pPr>
        <w:spacing w:line="360" w:lineRule="auto"/>
      </w:pPr>
      <w:r>
        <w:rPr>
          <w:rFonts w:hint="eastAsia"/>
        </w:rPr>
        <w:t>　　自然科学基金委信息科学部综合与战略规划处</w:t>
      </w:r>
    </w:p>
    <w:p>
      <w:pPr>
        <w:spacing w:line="360" w:lineRule="auto"/>
      </w:pPr>
      <w:r>
        <w:rPr>
          <w:rFonts w:hint="eastAsia"/>
        </w:rPr>
        <w:t>　　联系人：潘  庆</w:t>
      </w:r>
    </w:p>
    <w:p>
      <w:pPr>
        <w:spacing w:line="360" w:lineRule="auto"/>
        <w:rPr>
          <w:rFonts w:hint="eastAsia"/>
        </w:rPr>
      </w:pPr>
      <w:r>
        <w:rPr>
          <w:rFonts w:hint="eastAsia"/>
        </w:rPr>
        <w:t>　　联系电话：010-62327140</w:t>
      </w:r>
    </w:p>
    <w:p>
      <w:pPr>
        <w:spacing w:line="360" w:lineRule="auto"/>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3E"/>
    <w:rsid w:val="0021563E"/>
    <w:rsid w:val="00F63D68"/>
    <w:rsid w:val="7593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Company>
  <Pages>1</Pages>
  <Words>463</Words>
  <Characters>2642</Characters>
  <Lines>22</Lines>
  <Paragraphs>6</Paragraphs>
  <TotalTime>2</TotalTime>
  <ScaleCrop>false</ScaleCrop>
  <LinksUpToDate>false</LinksUpToDate>
  <CharactersWithSpaces>3099</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2020-05-09T03:54:00Z</dcterms:created>
  <dc:creator>jane</dc:creator>
  <cp:lastModifiedBy>Administrator</cp:lastModifiedBy>
  <dcterms:modified xsi:type="dcterms:W3CDTF">2020-06-01T01:56:13Z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